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5739C86C" w:rsidR="000C56C0" w:rsidRPr="00CE6DD3"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CE6DD3">
        <w:rPr>
          <w:rFonts w:ascii="Arial" w:eastAsia="SimSun" w:hAnsi="Arial" w:cs="Times New Roman"/>
          <w:b/>
          <w:bCs/>
          <w:sz w:val="24"/>
          <w:szCs w:val="24"/>
          <w:lang w:val="en-GB"/>
        </w:rPr>
        <w:t>3GPP T</w:t>
      </w:r>
      <w:bookmarkStart w:id="2" w:name="_Ref452454252"/>
      <w:bookmarkEnd w:id="2"/>
      <w:r w:rsidRPr="00CE6DD3">
        <w:rPr>
          <w:rFonts w:ascii="Arial" w:eastAsia="SimSun" w:hAnsi="Arial" w:cs="Times New Roman"/>
          <w:b/>
          <w:bCs/>
          <w:sz w:val="24"/>
          <w:szCs w:val="24"/>
          <w:lang w:val="en-GB"/>
        </w:rPr>
        <w:t>SG-RAN WG4 Meeting #</w:t>
      </w:r>
      <w:r w:rsidR="00596C8F" w:rsidRPr="00CE6DD3">
        <w:rPr>
          <w:rFonts w:ascii="Arial" w:eastAsia="SimSun" w:hAnsi="Arial" w:cs="Times New Roman"/>
          <w:b/>
          <w:bCs/>
          <w:sz w:val="24"/>
          <w:szCs w:val="24"/>
          <w:lang w:val="en-GB"/>
        </w:rPr>
        <w:t>9</w:t>
      </w:r>
      <w:r w:rsidR="003C14AD">
        <w:rPr>
          <w:rFonts w:ascii="Arial" w:eastAsia="SimSun" w:hAnsi="Arial" w:cs="Times New Roman"/>
          <w:b/>
          <w:bCs/>
          <w:sz w:val="24"/>
          <w:szCs w:val="24"/>
          <w:lang w:val="en-GB"/>
        </w:rPr>
        <w:t>5</w:t>
      </w:r>
      <w:r w:rsidR="00596C8F" w:rsidRPr="00CE6DD3">
        <w:rPr>
          <w:rFonts w:ascii="Arial" w:eastAsia="SimSun" w:hAnsi="Arial" w:cs="Times New Roman"/>
          <w:b/>
          <w:bCs/>
          <w:sz w:val="24"/>
          <w:szCs w:val="24"/>
          <w:lang w:val="en-GB"/>
        </w:rPr>
        <w:t>e</w:t>
      </w:r>
      <w:r w:rsidRPr="00CE6DD3">
        <w:rPr>
          <w:rFonts w:ascii="Arial" w:eastAsia="SimSun" w:hAnsi="Arial" w:cs="Times New Roman"/>
          <w:b/>
          <w:bCs/>
          <w:sz w:val="24"/>
          <w:szCs w:val="24"/>
          <w:lang w:val="en-GB"/>
        </w:rPr>
        <w:t xml:space="preserve">                </w:t>
      </w:r>
      <w:r w:rsidRPr="00CE6DD3">
        <w:rPr>
          <w:rFonts w:ascii="Arial" w:eastAsia="SimSun" w:hAnsi="Arial" w:cs="Times New Roman"/>
          <w:b/>
          <w:bCs/>
          <w:sz w:val="24"/>
          <w:szCs w:val="20"/>
          <w:lang w:val="en-GB"/>
        </w:rPr>
        <w:tab/>
      </w:r>
      <w:r w:rsidR="005E36CA" w:rsidRPr="005E36CA">
        <w:rPr>
          <w:rFonts w:ascii="Arial" w:eastAsia="SimSun" w:hAnsi="Arial" w:cs="Times New Roman"/>
          <w:b/>
          <w:bCs/>
          <w:sz w:val="24"/>
          <w:szCs w:val="24"/>
          <w:lang w:val="en-GB" w:eastAsia="ja-JP"/>
        </w:rPr>
        <w:t>R4-2007267</w:t>
      </w:r>
    </w:p>
    <w:bookmarkEnd w:id="0"/>
    <w:bookmarkEnd w:id="1"/>
    <w:p w14:paraId="26A67278" w14:textId="68BD3CD0" w:rsidR="00E03C16" w:rsidRDefault="009057BE" w:rsidP="000E23A6">
      <w:pPr>
        <w:widowControl w:val="0"/>
        <w:overflowPunct w:val="0"/>
        <w:autoSpaceDE w:val="0"/>
        <w:autoSpaceDN w:val="0"/>
        <w:adjustRightInd w:val="0"/>
        <w:spacing w:after="0" w:line="240" w:lineRule="auto"/>
        <w:jc w:val="both"/>
        <w:textAlignment w:val="baseline"/>
        <w:rPr>
          <w:rFonts w:ascii="Arial" w:eastAsia="SimSun" w:hAnsi="Arial" w:cs="Times New Roman"/>
          <w:b/>
          <w:sz w:val="24"/>
          <w:szCs w:val="20"/>
        </w:rPr>
      </w:pPr>
      <w:r>
        <w:rPr>
          <w:rFonts w:ascii="Arial" w:eastAsia="SimSun" w:hAnsi="Arial" w:cs="Times New Roman"/>
          <w:b/>
          <w:sz w:val="24"/>
          <w:szCs w:val="20"/>
        </w:rPr>
        <w:t>Online</w:t>
      </w:r>
      <w:r w:rsidRPr="009057BE">
        <w:rPr>
          <w:rFonts w:ascii="Arial" w:eastAsia="SimSun" w:hAnsi="Arial" w:cs="Times New Roman"/>
          <w:b/>
          <w:sz w:val="24"/>
          <w:szCs w:val="20"/>
        </w:rPr>
        <w:t>, May 25-29 &amp; June 1-5, 2020</w:t>
      </w:r>
    </w:p>
    <w:p w14:paraId="61CAA448" w14:textId="77777777" w:rsidR="009057BE" w:rsidRPr="009057BE" w:rsidRDefault="009057BE"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70AD7A25"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2871F8">
        <w:rPr>
          <w:rFonts w:ascii="Arial" w:eastAsia="Calibri" w:hAnsi="Arial" w:cs="Arial"/>
          <w:b/>
          <w:bCs/>
          <w:sz w:val="24"/>
        </w:rPr>
        <w:t>On</w:t>
      </w:r>
      <w:r w:rsidR="00265102">
        <w:rPr>
          <w:rFonts w:ascii="Arial" w:eastAsia="Calibri" w:hAnsi="Arial" w:cs="Arial"/>
          <w:b/>
          <w:bCs/>
          <w:sz w:val="24"/>
        </w:rPr>
        <w:t xml:space="preserve"> </w:t>
      </w:r>
      <w:r w:rsidR="002871F8">
        <w:rPr>
          <w:rFonts w:ascii="Arial" w:eastAsia="Calibri" w:hAnsi="Arial" w:cs="Arial"/>
          <w:b/>
          <w:bCs/>
          <w:sz w:val="24"/>
        </w:rPr>
        <w:t>the impact of UL LBT failure in measurement reporting</w:t>
      </w:r>
    </w:p>
    <w:p w14:paraId="3C35320A" w14:textId="5A79628E" w:rsidR="000E23A6" w:rsidRPr="008D15EB" w:rsidRDefault="000E23A6" w:rsidP="000E23A6">
      <w:pPr>
        <w:tabs>
          <w:tab w:val="left" w:pos="1985"/>
        </w:tabs>
        <w:spacing w:after="120" w:line="240" w:lineRule="auto"/>
        <w:jc w:val="both"/>
        <w:rPr>
          <w:rFonts w:ascii="Arial" w:eastAsia="MS Mincho" w:hAnsi="Arial" w:cs="Arial"/>
          <w:b/>
          <w:bCs/>
          <w:sz w:val="24"/>
          <w:szCs w:val="20"/>
        </w:rPr>
      </w:pPr>
      <w:r w:rsidRPr="008D15EB">
        <w:rPr>
          <w:rFonts w:ascii="Arial" w:eastAsia="MS Mincho" w:hAnsi="Arial" w:cs="Arial"/>
          <w:b/>
          <w:bCs/>
          <w:sz w:val="24"/>
          <w:szCs w:val="20"/>
        </w:rPr>
        <w:t>Agenda item:</w:t>
      </w:r>
      <w:r w:rsidRPr="008D15EB">
        <w:rPr>
          <w:rFonts w:ascii="Arial" w:eastAsia="MS Mincho" w:hAnsi="Arial" w:cs="Arial"/>
          <w:b/>
          <w:bCs/>
          <w:sz w:val="24"/>
          <w:szCs w:val="20"/>
        </w:rPr>
        <w:tab/>
      </w:r>
      <w:r w:rsidR="00596C8F" w:rsidRPr="005E36CA">
        <w:rPr>
          <w:rFonts w:ascii="Arial" w:eastAsia="MS Mincho" w:hAnsi="Arial" w:cs="Arial"/>
          <w:b/>
          <w:bCs/>
          <w:sz w:val="24"/>
          <w:szCs w:val="20"/>
        </w:rPr>
        <w:t>6.1.5.11</w:t>
      </w:r>
    </w:p>
    <w:p w14:paraId="5FCD8CC3" w14:textId="02570F67" w:rsidR="000E23A6" w:rsidRPr="008D15EB" w:rsidRDefault="000E23A6" w:rsidP="000E23A6">
      <w:pPr>
        <w:tabs>
          <w:tab w:val="left" w:pos="1985"/>
        </w:tabs>
        <w:jc w:val="both"/>
        <w:rPr>
          <w:rFonts w:ascii="Arial" w:eastAsia="Calibri" w:hAnsi="Arial" w:cs="Arial"/>
          <w:b/>
          <w:bCs/>
          <w:sz w:val="24"/>
        </w:rPr>
      </w:pPr>
      <w:r w:rsidRPr="008D15EB">
        <w:rPr>
          <w:rFonts w:ascii="Arial" w:eastAsia="Calibri" w:hAnsi="Arial" w:cs="Arial"/>
          <w:b/>
          <w:bCs/>
          <w:sz w:val="24"/>
        </w:rPr>
        <w:t>Document for:</w:t>
      </w:r>
      <w:r w:rsidRPr="008D15EB">
        <w:rPr>
          <w:rFonts w:ascii="Arial" w:eastAsia="Calibri" w:hAnsi="Arial" w:cs="Arial"/>
          <w:b/>
          <w:bCs/>
          <w:sz w:val="24"/>
        </w:rPr>
        <w:tab/>
        <w:t>Discussion</w:t>
      </w:r>
    </w:p>
    <w:p w14:paraId="5B53089E" w14:textId="10532DD0" w:rsidR="002871F8" w:rsidRDefault="00841BCD" w:rsidP="002871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07FE159" w14:textId="61C82185" w:rsidR="494488D8" w:rsidRPr="002871F8" w:rsidRDefault="002871F8" w:rsidP="04D73427">
      <w:pPr>
        <w:jc w:val="both"/>
        <w:rPr>
          <w:iCs/>
        </w:rPr>
      </w:pPr>
      <w:r w:rsidRPr="002871F8">
        <w:rPr>
          <w:i/>
          <w:iCs/>
          <w:noProof/>
        </w:rPr>
        <mc:AlternateContent>
          <mc:Choice Requires="wps">
            <w:drawing>
              <wp:anchor distT="45720" distB="45720" distL="114300" distR="114300" simplePos="0" relativeHeight="251658240" behindDoc="0" locked="0" layoutInCell="1" allowOverlap="1" wp14:anchorId="35BC11CF" wp14:editId="4CD26ACD">
                <wp:simplePos x="0" y="0"/>
                <wp:positionH relativeFrom="column">
                  <wp:posOffset>47625</wp:posOffset>
                </wp:positionH>
                <wp:positionV relativeFrom="paragraph">
                  <wp:posOffset>272415</wp:posOffset>
                </wp:positionV>
                <wp:extent cx="6029325" cy="5676265"/>
                <wp:effectExtent l="0" t="0" r="2857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5676265"/>
                        </a:xfrm>
                        <a:prstGeom prst="rect">
                          <a:avLst/>
                        </a:prstGeom>
                        <a:solidFill>
                          <a:srgbClr val="FFFFFF"/>
                        </a:solidFill>
                        <a:ln w="9525">
                          <a:solidFill>
                            <a:srgbClr val="000000"/>
                          </a:solidFill>
                          <a:miter lim="800000"/>
                          <a:headEnd/>
                          <a:tailEnd/>
                        </a:ln>
                      </wps:spPr>
                      <wps:txbx>
                        <w:txbxContent>
                          <w:p w14:paraId="27331EB6" w14:textId="4931D094" w:rsidR="001D7E29" w:rsidRPr="002871F8" w:rsidRDefault="001D7E29"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1D7E29" w:rsidRPr="00EF63E6" w:rsidRDefault="001D7E29"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1D7E29" w:rsidRPr="00EF63E6" w:rsidRDefault="001D7E29"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1D7E29" w:rsidRPr="00EF63E6" w:rsidRDefault="001D7E29"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1D7E29" w:rsidRPr="002871F8" w:rsidRDefault="001D7E29"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1D7E29" w:rsidRPr="002871F8" w:rsidRDefault="001D7E29"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1D7E29" w:rsidRPr="002A5971" w:rsidRDefault="001D7E29"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1D7E29" w:rsidRPr="002A5971" w:rsidRDefault="001D7E29"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p>
                          <w:p w14:paraId="5BBC438A"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1D7E29" w:rsidRPr="002A5971" w:rsidRDefault="001D7E29"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5EC83B9F" w:rsidR="001D7E29" w:rsidRPr="00AD6514" w:rsidRDefault="001D7E29"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42A42691" w14:textId="77777777" w:rsidR="001D7E29" w:rsidRPr="002A5971" w:rsidRDefault="001D7E29" w:rsidP="00640278">
                            <w:pPr>
                              <w:spacing w:before="100" w:after="0" w:line="240" w:lineRule="auto"/>
                              <w:ind w:left="1620"/>
                              <w:textAlignment w:val="center"/>
                              <w:rPr>
                                <w:rFonts w:ascii="Calibri" w:eastAsia="Times New Roman" w:hAnsi="Calibri" w:cs="Calibri"/>
                                <w:lang w:val="en-GB" w:eastAsia="da-DK"/>
                              </w:rPr>
                            </w:pPr>
                          </w:p>
                          <w:p w14:paraId="7247F3D8" w14:textId="77777777" w:rsidR="001D7E29" w:rsidRPr="00AD6514" w:rsidRDefault="001D7E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BC11CF" id="_x0000_t202" coordsize="21600,21600" o:spt="202" path="m,l,21600r21600,l21600,xe">
                <v:stroke joinstyle="miter"/>
                <v:path gradientshapeok="t" o:connecttype="rect"/>
              </v:shapetype>
              <v:shape id="Text Box 2" o:spid="_x0000_s1026" type="#_x0000_t202" style="position:absolute;left:0;text-align:left;margin-left:3.75pt;margin-top:21.45pt;width:474.75pt;height:446.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">
                <v:textbox>
                  <w:txbxContent>
                    <w:p w14:paraId="27331EB6" w14:textId="4931D094" w:rsidR="001D7E29" w:rsidRPr="002871F8" w:rsidRDefault="001D7E29"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w:t>
                      </w:r>
                      <w:r w:rsidRPr="00240419">
                        <w:rPr>
                          <w:rFonts w:ascii="Calibri Light" w:eastAsia="Times New Roman" w:hAnsi="Calibri Light" w:cs="Calibri Light"/>
                          <w:szCs w:val="20"/>
                          <w:highlight w:val="green"/>
                          <w:lang w:val="sv-SE" w:eastAsia="da-DK"/>
                        </w:rPr>
                        <w:t>RAN4 92 bis</w:t>
                      </w:r>
                    </w:p>
                    <w:p w14:paraId="0A19E278"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E11B9DD" w14:textId="77777777" w:rsidR="001D7E29" w:rsidRPr="00EF63E6" w:rsidRDefault="001D7E29" w:rsidP="0018208B">
                      <w:pPr>
                        <w:numPr>
                          <w:ilvl w:val="1"/>
                          <w:numId w:val="8"/>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29140377" w14:textId="77777777" w:rsidR="001D7E29" w:rsidRPr="00EF63E6" w:rsidRDefault="001D7E29" w:rsidP="0018208B">
                      <w:pPr>
                        <w:numPr>
                          <w:ilvl w:val="1"/>
                          <w:numId w:val="8"/>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FD5BE33" w14:textId="77777777" w:rsidR="001D7E29" w:rsidRPr="00EF63E6" w:rsidRDefault="001D7E29" w:rsidP="0018208B">
                      <w:pPr>
                        <w:numPr>
                          <w:ilvl w:val="2"/>
                          <w:numId w:val="8"/>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45EE9FCA"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6E74EC8F" w14:textId="77777777" w:rsidR="001D7E29" w:rsidRPr="00EF63E6" w:rsidRDefault="001D7E29" w:rsidP="0018208B">
                      <w:pPr>
                        <w:numPr>
                          <w:ilvl w:val="0"/>
                          <w:numId w:val="8"/>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26E4CDFE" w14:textId="77777777" w:rsidR="001D7E29" w:rsidRPr="002871F8" w:rsidRDefault="001D7E29" w:rsidP="002871F8">
                      <w:pPr>
                        <w:spacing w:after="0" w:line="240" w:lineRule="auto"/>
                        <w:ind w:left="540"/>
                        <w:textAlignment w:val="center"/>
                        <w:rPr>
                          <w:rFonts w:ascii="Calibri Light" w:eastAsia="Times New Roman" w:hAnsi="Calibri Light" w:cs="Calibri Light"/>
                          <w:szCs w:val="20"/>
                          <w:highlight w:val="green"/>
                          <w:lang w:val="en-GB" w:eastAsia="da-DK"/>
                        </w:rPr>
                      </w:pPr>
                    </w:p>
                    <w:p w14:paraId="011BB4F8" w14:textId="5EBA29DC" w:rsidR="001D7E29" w:rsidRPr="002871F8" w:rsidRDefault="001D7E29" w:rsidP="002871F8">
                      <w:pPr>
                        <w:spacing w:after="0" w:line="240" w:lineRule="auto"/>
                        <w:ind w:left="540"/>
                        <w:textAlignment w:val="center"/>
                        <w:rPr>
                          <w:rFonts w:ascii="Calibri" w:eastAsia="Times New Roman" w:hAnsi="Calibri" w:cs="Calibri"/>
                          <w:lang w:val="sv-SE" w:eastAsia="da-DK"/>
                        </w:rPr>
                      </w:pPr>
                      <w:proofErr w:type="spellStart"/>
                      <w:r w:rsidRPr="002871F8">
                        <w:rPr>
                          <w:rFonts w:ascii="Calibri Light" w:eastAsia="Times New Roman" w:hAnsi="Calibri Light" w:cs="Calibri Light"/>
                          <w:szCs w:val="20"/>
                          <w:highlight w:val="green"/>
                          <w:lang w:val="sv-SE" w:eastAsia="da-DK"/>
                        </w:rPr>
                        <w:t>Agreements</w:t>
                      </w:r>
                      <w:proofErr w:type="spellEnd"/>
                      <w:r w:rsidRPr="002871F8">
                        <w:rPr>
                          <w:rFonts w:ascii="Calibri Light" w:eastAsia="Times New Roman" w:hAnsi="Calibri Light" w:cs="Calibri Light"/>
                          <w:szCs w:val="20"/>
                          <w:highlight w:val="green"/>
                          <w:lang w:val="sv-SE" w:eastAsia="da-DK"/>
                        </w:rPr>
                        <w:t xml:space="preserve"> in RAN4 93</w:t>
                      </w:r>
                    </w:p>
                    <w:p w14:paraId="6FFE1CA4" w14:textId="7699B0AC" w:rsidR="001D7E29" w:rsidRPr="002A5971" w:rsidRDefault="001D7E29" w:rsidP="0018208B">
                      <w:pPr>
                        <w:numPr>
                          <w:ilvl w:val="0"/>
                          <w:numId w:val="7"/>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 xml:space="preserve">UL LBT and </w:t>
                      </w:r>
                      <w:proofErr w:type="spellStart"/>
                      <w:r w:rsidRPr="002A5971">
                        <w:rPr>
                          <w:rFonts w:ascii="Calibri Light" w:eastAsia="Times New Roman" w:hAnsi="Calibri Light" w:cs="Calibri Light"/>
                          <w:szCs w:val="20"/>
                          <w:lang w:val="sv-SE" w:eastAsia="da-DK"/>
                        </w:rPr>
                        <w:t>Measurement</w:t>
                      </w:r>
                      <w:proofErr w:type="spellEnd"/>
                      <w:r w:rsidRPr="002A5971">
                        <w:rPr>
                          <w:rFonts w:ascii="Calibri Light" w:eastAsia="Times New Roman" w:hAnsi="Calibri Light" w:cs="Calibri Light"/>
                          <w:szCs w:val="20"/>
                          <w:lang w:val="sv-SE" w:eastAsia="da-DK"/>
                        </w:rPr>
                        <w:t xml:space="preserve"> </w:t>
                      </w:r>
                      <w:proofErr w:type="spellStart"/>
                      <w:r w:rsidRPr="002A5971">
                        <w:rPr>
                          <w:rFonts w:ascii="Calibri Light" w:eastAsia="Times New Roman" w:hAnsi="Calibri Light" w:cs="Calibri Light"/>
                          <w:szCs w:val="20"/>
                          <w:lang w:val="sv-SE" w:eastAsia="da-DK"/>
                        </w:rPr>
                        <w:t>Reporting</w:t>
                      </w:r>
                      <w:proofErr w:type="spellEnd"/>
                    </w:p>
                    <w:p w14:paraId="5DF4E4D7" w14:textId="77777777" w:rsidR="001D7E29" w:rsidRPr="002A5971" w:rsidRDefault="001D7E29" w:rsidP="0018208B">
                      <w:pPr>
                        <w:numPr>
                          <w:ilvl w:val="1"/>
                          <w:numId w:val="7"/>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16FBFA41"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p>
                    <w:p w14:paraId="5BBC438A"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6077DA40"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 xml:space="preserve">Option 1: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0FCB046"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29036445"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022A61D8" w14:textId="77777777" w:rsidR="001D7E29" w:rsidRPr="002A5971" w:rsidRDefault="001D7E29" w:rsidP="0018208B">
                      <w:pPr>
                        <w:numPr>
                          <w:ilvl w:val="1"/>
                          <w:numId w:val="7"/>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2EF8467B" w14:textId="77777777" w:rsidR="001D7E29" w:rsidRPr="002A5971" w:rsidRDefault="001D7E29"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proofErr w:type="gramStart"/>
                      <w:r w:rsidRPr="002A5971">
                        <w:rPr>
                          <w:rFonts w:ascii="Calibri" w:eastAsia="Times New Roman" w:hAnsi="Calibri" w:cs="Calibri"/>
                          <w:szCs w:val="20"/>
                          <w:vertAlign w:val="subscript"/>
                          <w:lang w:eastAsia="da-DK"/>
                        </w:rPr>
                        <w:t>UL,max</w:t>
                      </w:r>
                      <w:proofErr w:type="spellEnd"/>
                      <w:proofErr w:type="gram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proofErr w:type="spellStart"/>
                      <w:r w:rsidRPr="002A5971">
                        <w:rPr>
                          <w:rFonts w:ascii="Calibri" w:eastAsia="Times New Roman" w:hAnsi="Calibri" w:cs="Calibri"/>
                          <w:szCs w:val="20"/>
                          <w:vertAlign w:val="subscript"/>
                          <w:lang w:eastAsia="da-DK"/>
                        </w:rPr>
                        <w:t>UL,max</w:t>
                      </w:r>
                      <w:proofErr w:type="spellEnd"/>
                      <w:r w:rsidRPr="002A5971">
                        <w:rPr>
                          <w:rFonts w:ascii="Calibri" w:eastAsia="Times New Roman" w:hAnsi="Calibri" w:cs="Calibri"/>
                          <w:szCs w:val="20"/>
                          <w:lang w:eastAsia="da-DK"/>
                        </w:rPr>
                        <w:t xml:space="preserve"> is limited by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lang w:eastAsia="da-DK"/>
                        </w:rPr>
                        <w:t xml:space="preserve"> (</w:t>
                      </w:r>
                      <w:proofErr w:type="spellStart"/>
                      <w:r w:rsidRPr="002A5971">
                        <w:rPr>
                          <w:rFonts w:ascii="Calibri" w:eastAsia="Times New Roman" w:hAnsi="Calibri" w:cs="Calibri"/>
                          <w:szCs w:val="20"/>
                          <w:lang w:eastAsia="da-DK"/>
                        </w:rPr>
                        <w:t>T</w:t>
                      </w:r>
                      <w:r w:rsidRPr="002A5971">
                        <w:rPr>
                          <w:rFonts w:ascii="Calibri" w:eastAsia="Times New Roman" w:hAnsi="Calibri" w:cs="Calibri"/>
                          <w:szCs w:val="20"/>
                          <w:vertAlign w:val="subscript"/>
                          <w:lang w:eastAsia="da-DK"/>
                        </w:rPr>
                        <w:t>report</w:t>
                      </w:r>
                      <w:proofErr w:type="spellEnd"/>
                      <w:r w:rsidRPr="002A5971">
                        <w:rPr>
                          <w:rFonts w:ascii="Calibri" w:eastAsia="Times New Roman" w:hAnsi="Calibri" w:cs="Calibri"/>
                          <w:szCs w:val="20"/>
                          <w:vertAlign w:val="subscript"/>
                          <w:lang w:eastAsia="da-DK"/>
                        </w:rPr>
                        <w:t xml:space="preserve">  </w:t>
                      </w:r>
                      <w:r w:rsidRPr="002A5971">
                        <w:rPr>
                          <w:rFonts w:ascii="Calibri" w:eastAsia="Times New Roman" w:hAnsi="Calibri" w:cs="Calibri"/>
                          <w:szCs w:val="20"/>
                          <w:lang w:eastAsia="da-DK"/>
                        </w:rPr>
                        <w:t>is the length of one measurement report period), or until the new measurement is available</w:t>
                      </w:r>
                    </w:p>
                    <w:p w14:paraId="05B49A35"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w:t>
                      </w:r>
                      <w:proofErr w:type="spellStart"/>
                      <w:r w:rsidRPr="002A5971">
                        <w:rPr>
                          <w:rFonts w:ascii="Calibri" w:eastAsia="Times New Roman" w:hAnsi="Calibri" w:cs="Calibri"/>
                          <w:szCs w:val="20"/>
                          <w:lang w:val="sv-SE" w:eastAsia="da-DK"/>
                        </w:rPr>
                        <w:t>determined</w:t>
                      </w:r>
                      <w:proofErr w:type="spellEnd"/>
                      <w:r w:rsidRPr="002A5971">
                        <w:rPr>
                          <w:rFonts w:ascii="Calibri" w:eastAsia="Times New Roman" w:hAnsi="Calibri" w:cs="Calibri"/>
                          <w:szCs w:val="20"/>
                          <w:lang w:val="sv-SE" w:eastAsia="da-DK"/>
                        </w:rPr>
                        <w:t xml:space="preserve"> by RAN1/RAN2 </w:t>
                      </w:r>
                      <w:proofErr w:type="spellStart"/>
                      <w:r w:rsidRPr="002A5971">
                        <w:rPr>
                          <w:rFonts w:ascii="Calibri" w:eastAsia="Times New Roman" w:hAnsi="Calibri" w:cs="Calibri"/>
                          <w:szCs w:val="20"/>
                          <w:lang w:val="sv-SE" w:eastAsia="da-DK"/>
                        </w:rPr>
                        <w:t>specifications</w:t>
                      </w:r>
                      <w:proofErr w:type="spellEnd"/>
                    </w:p>
                    <w:p w14:paraId="7C8C8C3C" w14:textId="77777777" w:rsidR="001D7E29" w:rsidRPr="002A5971" w:rsidRDefault="001D7E29" w:rsidP="0018208B">
                      <w:pPr>
                        <w:numPr>
                          <w:ilvl w:val="3"/>
                          <w:numId w:val="7"/>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proofErr w:type="spellStart"/>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proofErr w:type="spellEnd"/>
                      <w:r w:rsidRPr="002A5971">
                        <w:rPr>
                          <w:rFonts w:ascii="Calibri" w:eastAsia="Times New Roman" w:hAnsi="Calibri" w:cs="Calibri"/>
                          <w:szCs w:val="20"/>
                          <w:lang w:val="sv-SE" w:eastAsia="da-DK"/>
                        </w:rPr>
                        <w:t xml:space="preserve"> is a pre-</w:t>
                      </w:r>
                      <w:proofErr w:type="spellStart"/>
                      <w:r w:rsidRPr="002A5971">
                        <w:rPr>
                          <w:rFonts w:ascii="Calibri" w:eastAsia="Times New Roman" w:hAnsi="Calibri" w:cs="Calibri"/>
                          <w:szCs w:val="20"/>
                          <w:lang w:val="sv-SE" w:eastAsia="da-DK"/>
                        </w:rPr>
                        <w:t>defined</w:t>
                      </w:r>
                      <w:proofErr w:type="spellEnd"/>
                      <w:r w:rsidRPr="002A5971">
                        <w:rPr>
                          <w:rFonts w:ascii="Calibri" w:eastAsia="Times New Roman" w:hAnsi="Calibri" w:cs="Calibri"/>
                          <w:szCs w:val="20"/>
                          <w:lang w:val="sv-SE" w:eastAsia="da-DK"/>
                        </w:rPr>
                        <w:t xml:space="preserve"> </w:t>
                      </w:r>
                      <w:proofErr w:type="spellStart"/>
                      <w:r w:rsidRPr="002A5971">
                        <w:rPr>
                          <w:rFonts w:ascii="Calibri" w:eastAsia="Times New Roman" w:hAnsi="Calibri" w:cs="Calibri"/>
                          <w:szCs w:val="20"/>
                          <w:lang w:val="sv-SE" w:eastAsia="da-DK"/>
                        </w:rPr>
                        <w:t>value</w:t>
                      </w:r>
                      <w:proofErr w:type="spellEnd"/>
                    </w:p>
                    <w:p w14:paraId="36ECE7B6" w14:textId="5EC83B9F" w:rsidR="001D7E29" w:rsidRPr="00AD6514" w:rsidRDefault="001D7E29" w:rsidP="0018208B">
                      <w:pPr>
                        <w:numPr>
                          <w:ilvl w:val="2"/>
                          <w:numId w:val="7"/>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42A42691" w14:textId="77777777" w:rsidR="001D7E29" w:rsidRPr="002A5971" w:rsidRDefault="001D7E29" w:rsidP="00640278">
                      <w:pPr>
                        <w:spacing w:before="100" w:after="0" w:line="240" w:lineRule="auto"/>
                        <w:ind w:left="1620"/>
                        <w:textAlignment w:val="center"/>
                        <w:rPr>
                          <w:rFonts w:ascii="Calibri" w:eastAsia="Times New Roman" w:hAnsi="Calibri" w:cs="Calibri"/>
                          <w:lang w:val="en-GB" w:eastAsia="da-DK"/>
                        </w:rPr>
                      </w:pPr>
                    </w:p>
                    <w:p w14:paraId="7247F3D8" w14:textId="77777777" w:rsidR="001D7E29" w:rsidRPr="00AD6514" w:rsidRDefault="001D7E29"/>
                  </w:txbxContent>
                </v:textbox>
                <w10:wrap type="square"/>
              </v:shape>
            </w:pict>
          </mc:Fallback>
        </mc:AlternateContent>
      </w:r>
      <w:r w:rsidRPr="002871F8">
        <w:rPr>
          <w:iCs/>
        </w:rPr>
        <w:t xml:space="preserve"> In the RAN4 </w:t>
      </w:r>
      <w:r w:rsidR="008D15EB">
        <w:rPr>
          <w:iCs/>
        </w:rPr>
        <w:t>#92bis and #93 meeting</w:t>
      </w:r>
      <w:r w:rsidRPr="002871F8">
        <w:rPr>
          <w:iCs/>
        </w:rPr>
        <w:t>, the following was agreed</w:t>
      </w:r>
      <w:r>
        <w:rPr>
          <w:iCs/>
        </w:rPr>
        <w:t xml:space="preserve"> </w:t>
      </w:r>
      <w:r>
        <w:rPr>
          <w:iCs/>
        </w:rPr>
        <w:fldChar w:fldCharType="begin"/>
      </w:r>
      <w:r>
        <w:rPr>
          <w:iCs/>
        </w:rPr>
        <w:instrText xml:space="preserve"> REF _Ref26969648 \r \h </w:instrText>
      </w:r>
      <w:r>
        <w:rPr>
          <w:iCs/>
        </w:rPr>
      </w:r>
      <w:r>
        <w:rPr>
          <w:iCs/>
        </w:rPr>
        <w:fldChar w:fldCharType="separate"/>
      </w:r>
      <w:r>
        <w:rPr>
          <w:iCs/>
        </w:rPr>
        <w:t>[1]</w:t>
      </w:r>
      <w:r>
        <w:rPr>
          <w:iCs/>
        </w:rPr>
        <w:fldChar w:fldCharType="end"/>
      </w:r>
      <w:r w:rsidRPr="002871F8">
        <w:rPr>
          <w:iCs/>
        </w:rPr>
        <w:t>:</w:t>
      </w:r>
    </w:p>
    <w:p w14:paraId="31C80A75" w14:textId="77777777" w:rsidR="00640278" w:rsidRDefault="00640278" w:rsidP="04D73427">
      <w:pPr>
        <w:jc w:val="both"/>
        <w:rPr>
          <w:iCs/>
        </w:rPr>
      </w:pPr>
    </w:p>
    <w:p w14:paraId="33C82E24" w14:textId="77777777" w:rsidR="00640278" w:rsidRDefault="00640278" w:rsidP="04D73427">
      <w:pPr>
        <w:jc w:val="both"/>
        <w:rPr>
          <w:iCs/>
        </w:rPr>
      </w:pPr>
    </w:p>
    <w:p w14:paraId="68C23D14" w14:textId="64E53535" w:rsidR="00640278" w:rsidRDefault="00640278" w:rsidP="04D73427">
      <w:pPr>
        <w:jc w:val="both"/>
        <w:rPr>
          <w:iCs/>
        </w:rPr>
      </w:pPr>
      <w:r>
        <w:rPr>
          <w:iCs/>
        </w:rPr>
        <w:t>In RAN4 94e, the following was agreed:</w:t>
      </w:r>
    </w:p>
    <w:p w14:paraId="5CE18C05" w14:textId="53C578CD" w:rsidR="00640278" w:rsidRDefault="00640278" w:rsidP="04D73427">
      <w:pPr>
        <w:jc w:val="both"/>
        <w:rPr>
          <w:iCs/>
        </w:rPr>
      </w:pPr>
    </w:p>
    <w:tbl>
      <w:tblPr>
        <w:tblStyle w:val="TableGrid"/>
        <w:tblW w:w="0" w:type="auto"/>
        <w:tblLook w:val="04A0" w:firstRow="1" w:lastRow="0" w:firstColumn="1" w:lastColumn="0" w:noHBand="0" w:noVBand="1"/>
      </w:tblPr>
      <w:tblGrid>
        <w:gridCol w:w="9617"/>
      </w:tblGrid>
      <w:tr w:rsidR="00640278" w14:paraId="6162824B" w14:textId="77777777" w:rsidTr="00640278">
        <w:tc>
          <w:tcPr>
            <w:tcW w:w="9617" w:type="dxa"/>
          </w:tcPr>
          <w:p w14:paraId="1B2D67A4" w14:textId="77777777" w:rsidR="00640278" w:rsidRDefault="00640278" w:rsidP="00640278">
            <w:pPr>
              <w:rPr>
                <w:lang w:val="en-GB"/>
              </w:rPr>
            </w:pPr>
            <w:r w:rsidRPr="00AD6514">
              <w:rPr>
                <w:highlight w:val="green"/>
                <w:lang w:val="en-GB"/>
              </w:rPr>
              <w:lastRenderedPageBreak/>
              <w:t>Agreement in RAN4 94e</w:t>
            </w:r>
          </w:p>
          <w:p w14:paraId="37EDC3BD" w14:textId="77777777" w:rsidR="00640278" w:rsidRDefault="00640278" w:rsidP="00640278">
            <w:pPr>
              <w:rPr>
                <w:rFonts w:eastAsiaTheme="minorEastAsia"/>
                <w:color w:val="000000" w:themeColor="text1"/>
                <w:lang w:eastAsia="zh-CN"/>
              </w:rPr>
            </w:pPr>
            <w:r>
              <w:rPr>
                <w:rFonts w:eastAsiaTheme="minorEastAsia"/>
                <w:color w:val="000000" w:themeColor="text1"/>
                <w:lang w:eastAsia="zh-CN"/>
              </w:rPr>
              <w:t xml:space="preserve">For event triggered reporting: </w:t>
            </w:r>
          </w:p>
          <w:p w14:paraId="377AF63D" w14:textId="77777777" w:rsidR="00640278" w:rsidRDefault="00640278" w:rsidP="00640278">
            <w:pPr>
              <w:pStyle w:val="ListParagraph"/>
              <w:numPr>
                <w:ilvl w:val="1"/>
                <w:numId w:val="14"/>
              </w:numPr>
              <w:spacing w:after="120"/>
              <w:contextualSpacing w:val="0"/>
              <w:rPr>
                <w:rFonts w:eastAsia="SimSun"/>
                <w:color w:val="000000" w:themeColor="text1"/>
                <w:szCs w:val="24"/>
                <w:lang w:eastAsia="zh-CN"/>
              </w:rPr>
            </w:pPr>
            <w:r>
              <w:rPr>
                <w:rFonts w:eastAsia="SimSun"/>
                <w:color w:val="000000" w:themeColor="text1"/>
                <w:szCs w:val="24"/>
                <w:lang w:eastAsia="zh-CN"/>
              </w:rPr>
              <w:t xml:space="preserve">RAN4 should not specify a pre-defined value of </w:t>
            </w:r>
            <w:r>
              <w:rPr>
                <w:rFonts w:ascii="Symbol" w:eastAsia="Symbol" w:hAnsi="Symbol" w:cs="Symbol"/>
                <w:lang w:eastAsia="zh-CN"/>
              </w:rPr>
              <w:t></w:t>
            </w:r>
            <w:proofErr w:type="spellStart"/>
            <w:r>
              <w:rPr>
                <w:rFonts w:eastAsia="Batang"/>
                <w:vertAlign w:val="subscript"/>
                <w:lang w:eastAsia="zh-CN"/>
              </w:rPr>
              <w:t>UL,max</w:t>
            </w:r>
            <w:proofErr w:type="spellEnd"/>
          </w:p>
          <w:p w14:paraId="03454E11" w14:textId="77777777" w:rsidR="00640278" w:rsidRDefault="00640278" w:rsidP="00640278">
            <w:pPr>
              <w:spacing w:after="120"/>
              <w:ind w:left="568"/>
              <w:rPr>
                <w:rFonts w:eastAsia="Batang"/>
                <w:lang w:eastAsia="zh-CN"/>
              </w:rPr>
            </w:pPr>
            <w:r>
              <w:rPr>
                <w:rFonts w:eastAsia="Batang"/>
                <w:lang w:eastAsia="zh-CN"/>
              </w:rPr>
              <w:t xml:space="preserve">There are RAN2 procedures in place for when either the HARQ retransmissions or UL LBT failure procedures are triggered. </w:t>
            </w:r>
          </w:p>
          <w:p w14:paraId="14D095BB" w14:textId="77777777" w:rsidR="00640278" w:rsidRDefault="00640278" w:rsidP="00640278">
            <w:pPr>
              <w:spacing w:after="120"/>
              <w:ind w:left="568"/>
              <w:rPr>
                <w:rFonts w:eastAsia="Batang"/>
                <w:lang w:eastAsia="zh-CN"/>
              </w:rPr>
            </w:pPr>
            <w:r>
              <w:rPr>
                <w:rFonts w:eastAsia="Batang"/>
                <w:lang w:eastAsia="zh-CN"/>
              </w:rPr>
              <w:t xml:space="preserve">FFS: whether/ how to refer to these procedures when discussing the extension of the measurement report. </w:t>
            </w:r>
          </w:p>
          <w:p w14:paraId="3D8639C1" w14:textId="77777777" w:rsidR="00640278" w:rsidRDefault="00640278" w:rsidP="04D73427">
            <w:pPr>
              <w:jc w:val="both"/>
              <w:rPr>
                <w:iCs/>
              </w:rPr>
            </w:pPr>
          </w:p>
        </w:tc>
      </w:tr>
    </w:tbl>
    <w:p w14:paraId="59B83A45" w14:textId="77777777" w:rsidR="00640278" w:rsidRDefault="00640278" w:rsidP="04D73427">
      <w:pPr>
        <w:jc w:val="both"/>
        <w:rPr>
          <w:iCs/>
        </w:rPr>
      </w:pPr>
    </w:p>
    <w:p w14:paraId="37DCDEC6" w14:textId="6C9C7DCC" w:rsidR="000A3602" w:rsidRDefault="000A3602" w:rsidP="04D73427">
      <w:pPr>
        <w:jc w:val="both"/>
        <w:rPr>
          <w:iCs/>
        </w:rPr>
      </w:pPr>
      <w:r>
        <w:rPr>
          <w:iCs/>
        </w:rPr>
        <w:t>Additionally, a LS was sent by RAN2, in which the following is suggested:</w:t>
      </w:r>
    </w:p>
    <w:p w14:paraId="6725062A" w14:textId="126A59B2" w:rsidR="000A3602" w:rsidRDefault="000A3602" w:rsidP="04D73427">
      <w:pPr>
        <w:jc w:val="both"/>
        <w:rPr>
          <w:iCs/>
        </w:rPr>
      </w:pPr>
    </w:p>
    <w:tbl>
      <w:tblPr>
        <w:tblStyle w:val="TableGrid"/>
        <w:tblW w:w="0" w:type="auto"/>
        <w:tblLook w:val="04A0" w:firstRow="1" w:lastRow="0" w:firstColumn="1" w:lastColumn="0" w:noHBand="0" w:noVBand="1"/>
      </w:tblPr>
      <w:tblGrid>
        <w:gridCol w:w="9617"/>
      </w:tblGrid>
      <w:tr w:rsidR="000A3602" w14:paraId="0533EB24" w14:textId="77777777" w:rsidTr="000A3602">
        <w:tc>
          <w:tcPr>
            <w:tcW w:w="9617" w:type="dxa"/>
          </w:tcPr>
          <w:p w14:paraId="3B14A2C4" w14:textId="4AEC1A83" w:rsidR="000A3602" w:rsidRDefault="000A3602" w:rsidP="000A3602">
            <w:pPr>
              <w:rPr>
                <w:b/>
              </w:rPr>
            </w:pPr>
            <w:r w:rsidRPr="000A3602">
              <w:rPr>
                <w:b/>
                <w:highlight w:val="green"/>
              </w:rPr>
              <w:t>R2-2002300</w:t>
            </w:r>
            <w:r>
              <w:rPr>
                <w:b/>
              </w:rPr>
              <w:t xml:space="preserve"> </w:t>
            </w:r>
            <w:r>
              <w:rPr>
                <w:rFonts w:cs="Arial"/>
                <w:b/>
              </w:rPr>
              <w:t xml:space="preserve">LS </w:t>
            </w:r>
            <w:r>
              <w:rPr>
                <w:rFonts w:cs="Arial"/>
                <w:b/>
                <w:bCs/>
              </w:rPr>
              <w:t>on dropping measurement results due to LBT delays</w:t>
            </w:r>
          </w:p>
          <w:p w14:paraId="300392FA" w14:textId="079D5D65" w:rsidR="000A3602" w:rsidRDefault="000A3602" w:rsidP="000A3602">
            <w:pPr>
              <w:rPr>
                <w:b/>
              </w:rPr>
            </w:pPr>
            <w:r>
              <w:rPr>
                <w:b/>
              </w:rPr>
              <w:t>To RAN4</w:t>
            </w:r>
          </w:p>
          <w:p w14:paraId="142A51AC" w14:textId="77777777" w:rsidR="000A3602" w:rsidRDefault="000A3602" w:rsidP="000A3602">
            <w:r>
              <w:rPr>
                <w:b/>
              </w:rPr>
              <w:t xml:space="preserve">ACTION: </w:t>
            </w:r>
            <w:r>
              <w:rPr>
                <w:b/>
                <w:color w:val="0070C0"/>
              </w:rPr>
              <w:tab/>
            </w:r>
            <w:r>
              <w:t>.</w:t>
            </w:r>
          </w:p>
          <w:p w14:paraId="368BE696" w14:textId="77777777" w:rsidR="000A3602" w:rsidRPr="000A3602" w:rsidRDefault="000A3602" w:rsidP="000A3602">
            <w:pPr>
              <w:outlineLvl w:val="0"/>
            </w:pPr>
            <w:r>
              <w:t xml:space="preserve">RAN2 respectfully </w:t>
            </w:r>
            <w:r>
              <w:rPr>
                <w:bCs/>
              </w:rPr>
              <w:t>suggest that RAN4 should not agree to UE</w:t>
            </w:r>
            <w:r>
              <w:rPr>
                <w:bCs/>
                <w:iCs/>
              </w:rPr>
              <w:t xml:space="preserve"> abandoning the measurement report due to delay caused by LBT failures</w:t>
            </w:r>
            <w:r>
              <w:t>.</w:t>
            </w:r>
          </w:p>
          <w:p w14:paraId="577D83BE" w14:textId="77777777" w:rsidR="000A3602" w:rsidRDefault="000A3602" w:rsidP="04D73427">
            <w:pPr>
              <w:jc w:val="both"/>
              <w:rPr>
                <w:iCs/>
              </w:rPr>
            </w:pPr>
          </w:p>
        </w:tc>
      </w:tr>
    </w:tbl>
    <w:p w14:paraId="14FFAC60" w14:textId="751F6F76" w:rsidR="000A3602" w:rsidRDefault="000A3602" w:rsidP="04D73427">
      <w:pPr>
        <w:jc w:val="both"/>
        <w:rPr>
          <w:iCs/>
        </w:rPr>
      </w:pPr>
    </w:p>
    <w:p w14:paraId="7BB4022E" w14:textId="0474A6F1" w:rsidR="00977502" w:rsidRDefault="00977502" w:rsidP="00977502">
      <w:pPr>
        <w:jc w:val="both"/>
        <w:rPr>
          <w:iCs/>
        </w:rPr>
      </w:pPr>
      <w:r>
        <w:rPr>
          <w:iCs/>
        </w:rPr>
        <w:t>In this document, we discuss the effect of UL LBT failure on measurement reporting.</w:t>
      </w:r>
      <w:r w:rsidR="007D75DD">
        <w:rPr>
          <w:iCs/>
        </w:rPr>
        <w:t xml:space="preserve"> This document is a revision of </w:t>
      </w:r>
      <w:r w:rsidR="007D75DD">
        <w:rPr>
          <w:iCs/>
        </w:rPr>
        <w:fldChar w:fldCharType="begin"/>
      </w:r>
      <w:r w:rsidR="007D75DD">
        <w:rPr>
          <w:iCs/>
        </w:rPr>
        <w:instrText xml:space="preserve"> REF _Ref40195274 \r \h </w:instrText>
      </w:r>
      <w:r w:rsidR="007D75DD">
        <w:rPr>
          <w:iCs/>
        </w:rPr>
      </w:r>
      <w:r w:rsidR="007D75DD">
        <w:rPr>
          <w:iCs/>
        </w:rPr>
        <w:fldChar w:fldCharType="separate"/>
      </w:r>
      <w:r w:rsidR="007D75DD">
        <w:rPr>
          <w:iCs/>
        </w:rPr>
        <w:t>[3]</w:t>
      </w:r>
      <w:r w:rsidR="007D75DD">
        <w:rPr>
          <w:iCs/>
        </w:rPr>
        <w:fldChar w:fldCharType="end"/>
      </w:r>
      <w:r w:rsidR="007D75DD">
        <w:rPr>
          <w:iCs/>
        </w:rPr>
        <w:t>.</w:t>
      </w:r>
    </w:p>
    <w:p w14:paraId="5203ED50" w14:textId="77777777" w:rsidR="00977502" w:rsidRPr="002871F8" w:rsidRDefault="00977502" w:rsidP="04D73427">
      <w:pPr>
        <w:jc w:val="both"/>
        <w:rPr>
          <w:iCs/>
        </w:rPr>
      </w:pPr>
    </w:p>
    <w:p w14:paraId="40E4358F" w14:textId="5AF75A9D" w:rsidR="00870D0F" w:rsidRDefault="002871F8" w:rsidP="00870D0F">
      <w:pPr>
        <w:pStyle w:val="RAN4H1"/>
      </w:pPr>
      <w:r>
        <w:t>2</w:t>
      </w:r>
      <w:r w:rsidR="00870D0F" w:rsidRPr="00841BCD">
        <w:tab/>
      </w:r>
      <w:r>
        <w:t>LBT failure in measurement reporting</w:t>
      </w:r>
    </w:p>
    <w:p w14:paraId="4055AA62" w14:textId="0230ECC2" w:rsidR="0018208B" w:rsidRDefault="0018208B" w:rsidP="0018208B">
      <w:pPr>
        <w:jc w:val="both"/>
        <w:rPr>
          <w:iCs/>
        </w:rPr>
      </w:pPr>
      <w:r>
        <w:rPr>
          <w:iCs/>
        </w:rPr>
        <w:t>RAN1 defined different categories of the LBT procedure. The only one that does not depend on the UE assessing the availability of the channel</w:t>
      </w:r>
      <w:r w:rsidR="005E36CA">
        <w:rPr>
          <w:iCs/>
        </w:rPr>
        <w:t xml:space="preserve"> are types 2A, B and C</w:t>
      </w:r>
      <w:r>
        <w:rPr>
          <w:iCs/>
        </w:rPr>
        <w:t>. In other categories, there is an uncertainty about the UE transmission, since the vacancy of the channel cannot be assumed.</w:t>
      </w:r>
    </w:p>
    <w:p w14:paraId="00E11047" w14:textId="6D7C822D" w:rsidR="0018208B" w:rsidRDefault="0018208B" w:rsidP="0018208B">
      <w:pPr>
        <w:jc w:val="both"/>
        <w:rPr>
          <w:iCs/>
        </w:rPr>
      </w:pPr>
      <w:r>
        <w:rPr>
          <w:iCs/>
        </w:rPr>
        <w:t xml:space="preserve">In this context, the UE measurement reporting delay might be affected by the channel conditions, therefore RAN4 has started working on the definition of new requirements, considering this specificity of the unlicensed spectrum in band n46. </w:t>
      </w:r>
    </w:p>
    <w:p w14:paraId="331EF06A" w14:textId="77777777" w:rsidR="009822F6" w:rsidRDefault="009822F6" w:rsidP="009822F6">
      <w:pPr>
        <w:jc w:val="both"/>
        <w:rPr>
          <w:iCs/>
        </w:rPr>
      </w:pPr>
      <w:r>
        <w:rPr>
          <w:iCs/>
        </w:rPr>
        <w:t xml:space="preserve">For event-triggered and periodic event triggered reporting, the specification mentions that the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w:t>
      </w:r>
      <w:r>
        <w:rPr>
          <w:iCs/>
        </w:rPr>
        <w:t xml:space="preserve">for intra-frequency measurements,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Pr>
          <w:rFonts w:eastAsia="Times New Roman"/>
          <w:vertAlign w:val="subscript"/>
        </w:rPr>
        <w:t xml:space="preserve"> </w:t>
      </w:r>
      <w:r>
        <w:rPr>
          <w:iCs/>
        </w:rPr>
        <w:t>for inter-frequency measurements. For NR-U, these periods have been extended to consider the LBT failure in downlink, consequently also extending the reporting delay.</w:t>
      </w:r>
    </w:p>
    <w:p w14:paraId="44F9E681" w14:textId="77777777" w:rsidR="009822F6" w:rsidRDefault="009822F6" w:rsidP="009822F6">
      <w:pPr>
        <w:pStyle w:val="RAN4observation0"/>
        <w:rPr>
          <w:iCs/>
        </w:rPr>
      </w:pPr>
      <w:r>
        <w:t xml:space="preserve">RAN4 has agreed that the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w:t>
      </w:r>
      <w:proofErr w:type="spellEnd"/>
      <w:r w:rsidRPr="009822F6">
        <w:rPr>
          <w:iCs/>
        </w:rPr>
        <w:t xml:space="preserve"> </w:t>
      </w:r>
      <w:r>
        <w:rPr>
          <w:iCs/>
        </w:rPr>
        <w:t xml:space="preserve">will be extended to consider the DL LBT failure. Therefore, by adjusting the references in the specification, to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ra_CCA</w:t>
      </w:r>
      <w:proofErr w:type="spellEnd"/>
      <w:r>
        <w:rPr>
          <w:rFonts w:eastAsia="Times New Roman"/>
          <w:vertAlign w:val="subscript"/>
        </w:rPr>
        <w:t xml:space="preserve"> </w:t>
      </w:r>
      <w:r>
        <w:rPr>
          <w:iCs/>
        </w:rPr>
        <w:t>and</w:t>
      </w:r>
      <w:r w:rsidRPr="00CC6906">
        <w:rPr>
          <w:rFonts w:eastAsia="Times New Roman"/>
        </w:rPr>
        <w:t xml:space="preserve"> </w:t>
      </w:r>
      <w:proofErr w:type="spellStart"/>
      <w:r w:rsidRPr="00CC6906">
        <w:rPr>
          <w:rFonts w:eastAsia="Times New Roman"/>
        </w:rPr>
        <w:t>T</w:t>
      </w:r>
      <w:r w:rsidRPr="00CC6906">
        <w:rPr>
          <w:rFonts w:eastAsia="Times New Roman"/>
          <w:vertAlign w:val="subscript"/>
        </w:rPr>
        <w:t>SSB_measurement_period_int</w:t>
      </w:r>
      <w:r>
        <w:rPr>
          <w:rFonts w:eastAsia="Times New Roman"/>
          <w:vertAlign w:val="subscript"/>
        </w:rPr>
        <w:t>er_CCA</w:t>
      </w:r>
      <w:proofErr w:type="spellEnd"/>
      <w:r>
        <w:rPr>
          <w:iCs/>
        </w:rPr>
        <w:t>, the effect of DL LBT failure will also be considered in the reporting delay.</w:t>
      </w:r>
    </w:p>
    <w:p w14:paraId="5C9AF1E1" w14:textId="4B298951" w:rsidR="0018208B" w:rsidRDefault="0018208B" w:rsidP="0018208B">
      <w:pPr>
        <w:jc w:val="both"/>
        <w:rPr>
          <w:iCs/>
        </w:rPr>
      </w:pPr>
      <w:r>
        <w:rPr>
          <w:iCs/>
        </w:rPr>
        <w:t>For event-triggered and periodic event triggered reporting, the reporting delay is defined in baseline Rel-15 NR in TS 38.133 as:</w:t>
      </w:r>
    </w:p>
    <w:p w14:paraId="433E5032" w14:textId="028176AD" w:rsidR="0018208B" w:rsidRDefault="0018208B" w:rsidP="0018208B">
      <w:pPr>
        <w:ind w:left="720"/>
        <w:rPr>
          <w:i/>
        </w:rPr>
      </w:pPr>
      <w:r w:rsidRPr="0018208B">
        <w:rPr>
          <w:i/>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proofErr w:type="spellStart"/>
      <w:r w:rsidRPr="0018208B">
        <w:rPr>
          <w:i/>
        </w:rPr>
        <w:t>signalling</w:t>
      </w:r>
      <w:proofErr w:type="spellEnd"/>
      <w:r w:rsidRPr="0018208B">
        <w:rPr>
          <w:i/>
        </w:rPr>
        <w:t xml:space="preserve"> on the DCCH. This measurement reporting delay excludes a delay uncertainty resulted when inserting the measurement report to the TTI of the uplink DCCH. The delay uncertainty is: 2 x TTI</w:t>
      </w:r>
      <w:r w:rsidRPr="0018208B">
        <w:rPr>
          <w:i/>
          <w:vertAlign w:val="subscript"/>
        </w:rPr>
        <w:t>DCCH</w:t>
      </w:r>
      <w:r w:rsidRPr="0018208B">
        <w:rPr>
          <w:i/>
        </w:rPr>
        <w:t xml:space="preserve">. </w:t>
      </w:r>
      <w:r w:rsidRPr="00BA0BE9">
        <w:rPr>
          <w:i/>
          <w:u w:val="single"/>
        </w:rPr>
        <w:t>This measurement reporting delay excludes a delay which caused by no UL resources being available for UE to send the measurement report on</w:t>
      </w:r>
      <w:r w:rsidRPr="00BA0BE9">
        <w:rPr>
          <w:i/>
        </w:rPr>
        <w:t>.</w:t>
      </w:r>
    </w:p>
    <w:p w14:paraId="3E5B77AC" w14:textId="2F3EB64B" w:rsidR="0018208B" w:rsidRDefault="0018208B" w:rsidP="0018208B">
      <w:pPr>
        <w:pStyle w:val="RAN4observation0"/>
      </w:pPr>
      <w:r>
        <w:t xml:space="preserve">The event triggered reporting delay excludes a delay caused by no UL resources being available for the UE to send the measurement report on. </w:t>
      </w:r>
    </w:p>
    <w:p w14:paraId="01977A6F" w14:textId="2A4837ED" w:rsidR="0018208B" w:rsidRDefault="0018208B" w:rsidP="0018208B">
      <w:pPr>
        <w:rPr>
          <w:lang w:val="en-GB"/>
        </w:rPr>
      </w:pPr>
      <w:r>
        <w:rPr>
          <w:lang w:val="en-GB"/>
        </w:rPr>
        <w:t xml:space="preserve">In baseline NR, the unavailability of resources for the UE to send the measurement report on can be caused, for example, for lack of gNB scheduling for a </w:t>
      </w:r>
      <w:proofErr w:type="gramStart"/>
      <w:r>
        <w:rPr>
          <w:lang w:val="en-GB"/>
        </w:rPr>
        <w:t>particular UE</w:t>
      </w:r>
      <w:proofErr w:type="gramEnd"/>
      <w:r>
        <w:rPr>
          <w:lang w:val="en-GB"/>
        </w:rPr>
        <w:t>. In NR-U, the unavailability of resources can be</w:t>
      </w:r>
      <w:r w:rsidR="002873D6">
        <w:rPr>
          <w:lang w:val="en-GB"/>
        </w:rPr>
        <w:t xml:space="preserve"> additionally</w:t>
      </w:r>
      <w:r>
        <w:rPr>
          <w:lang w:val="en-GB"/>
        </w:rPr>
        <w:t xml:space="preserve"> caused by the </w:t>
      </w:r>
      <w:r w:rsidR="005E36CA">
        <w:rPr>
          <w:lang w:val="en-GB"/>
        </w:rPr>
        <w:t>channel being unavailable due to LBT</w:t>
      </w:r>
      <w:r>
        <w:rPr>
          <w:lang w:val="en-GB"/>
        </w:rPr>
        <w:t>.</w:t>
      </w:r>
    </w:p>
    <w:p w14:paraId="64F9978F" w14:textId="4CB61A16" w:rsidR="00514182" w:rsidRPr="0018208B" w:rsidRDefault="00514182" w:rsidP="00514182">
      <w:pPr>
        <w:pStyle w:val="RAN4observation0"/>
      </w:pPr>
      <w:r>
        <w:lastRenderedPageBreak/>
        <w:t xml:space="preserve">In baseline NR Rel-15, RAN4 </w:t>
      </w:r>
      <w:r w:rsidR="00AC1B84">
        <w:t xml:space="preserve">does not </w:t>
      </w:r>
      <w:proofErr w:type="gramStart"/>
      <w:r w:rsidR="00AC1B84">
        <w:t>take into account</w:t>
      </w:r>
      <w:proofErr w:type="gramEnd"/>
      <w:r w:rsidR="00AC1B84">
        <w:t xml:space="preserve"> the possible delays caused by unsuccessful PUSCH transmissions. A CCA failure in the uplink is considered by upper layers as a</w:t>
      </w:r>
      <w:r w:rsidR="0052796E">
        <w:t>n</w:t>
      </w:r>
      <w:r w:rsidR="00AC1B84">
        <w:t xml:space="preserve"> unsuccessful PUSCH transmission, i.e. triggering retransmissions.</w:t>
      </w:r>
    </w:p>
    <w:p w14:paraId="46F2D384" w14:textId="0B02874B" w:rsidR="00ED1F3F" w:rsidRPr="00EC57D2" w:rsidRDefault="008538A8" w:rsidP="00ED1F3F">
      <w:pPr>
        <w:jc w:val="both"/>
        <w:rPr>
          <w:iCs/>
        </w:rPr>
      </w:pPr>
      <w:r>
        <w:rPr>
          <w:iCs/>
        </w:rPr>
        <w:t xml:space="preserve">If </w:t>
      </w:r>
      <w:r w:rsidRPr="00EC57D2">
        <w:rPr>
          <w:iCs/>
        </w:rPr>
        <w:t>there is a need to capture the UL LBT failure in the reporting delay, the following is proposed</w:t>
      </w:r>
      <w:r w:rsidR="00ED1F3F" w:rsidRPr="00EC57D2">
        <w:rPr>
          <w:iCs/>
        </w:rPr>
        <w:t xml:space="preserve">: </w:t>
      </w:r>
    </w:p>
    <w:p w14:paraId="0DDC5845" w14:textId="73389587" w:rsidR="00EB059E" w:rsidRDefault="00422A5A" w:rsidP="00EB059E">
      <w:pPr>
        <w:pStyle w:val="RAN4proposal"/>
        <w:numPr>
          <w:ilvl w:val="0"/>
          <w:numId w:val="11"/>
        </w:numPr>
      </w:pPr>
      <w:r>
        <w:rPr>
          <w:iCs w:val="0"/>
        </w:rPr>
        <w:t xml:space="preserve">Reuse the Rel-15 definition of measurement reporting delay. </w:t>
      </w:r>
      <w:r w:rsidR="00EB059E" w:rsidRPr="00EC57D2">
        <w:rPr>
          <w:iCs w:val="0"/>
        </w:rPr>
        <w:t xml:space="preserve">If there is a need to capture the UL LBT failure in the </w:t>
      </w:r>
      <w:r w:rsidR="00EB059E" w:rsidRPr="00EC57D2">
        <w:t>event triggered reporting delay</w:t>
      </w:r>
      <w:r w:rsidR="008D15EB" w:rsidRPr="00EC57D2">
        <w:t xml:space="preserve">, </w:t>
      </w:r>
      <w:r w:rsidR="00EB059E" w:rsidRPr="00EC57D2">
        <w:t xml:space="preserve">clarify that it also excludes </w:t>
      </w:r>
      <w:r w:rsidR="003C14AD">
        <w:t>delays</w:t>
      </w:r>
      <w:r w:rsidR="00EB059E" w:rsidRPr="00EC57D2">
        <w:t xml:space="preserve"> caused by no UL resources being available for UE, for example due to </w:t>
      </w:r>
      <w:r>
        <w:t xml:space="preserve">UL </w:t>
      </w:r>
      <w:r w:rsidR="00EB059E" w:rsidRPr="00EC57D2">
        <w:t>CCA failure.</w:t>
      </w:r>
    </w:p>
    <w:p w14:paraId="7D68AC2B" w14:textId="719A1E37" w:rsidR="005921E4" w:rsidRDefault="00422A5A" w:rsidP="00422A5A">
      <w:r w:rsidRPr="005E36CA">
        <w:t>During the discussions on RAN4 94e-bis , there was a question related to the testability of this requirements. Should RAN4 configure the test without any UL LBT failure? In the same way as the core requirements for baseline NR Rel-15 requirements</w:t>
      </w:r>
      <w:r w:rsidR="005921E4" w:rsidRPr="005E36CA">
        <w:t xml:space="preserve"> </w:t>
      </w:r>
      <w:r w:rsidR="005E36CA">
        <w:t>d</w:t>
      </w:r>
      <w:r w:rsidR="005921E4" w:rsidRPr="005E36CA">
        <w:t xml:space="preserve">o not </w:t>
      </w:r>
      <w:proofErr w:type="gramStart"/>
      <w:r w:rsidR="005921E4" w:rsidRPr="005E36CA">
        <w:t>take into account</w:t>
      </w:r>
      <w:proofErr w:type="gramEnd"/>
      <w:r w:rsidR="005921E4" w:rsidRPr="005E36CA">
        <w:t xml:space="preserve"> the possible delays caused by unsuccessful PUSCH transmissions</w:t>
      </w:r>
      <w:r w:rsidRPr="005E36CA">
        <w:t xml:space="preserve">, </w:t>
      </w:r>
      <w:r w:rsidR="005921E4" w:rsidRPr="005E36CA">
        <w:t xml:space="preserve">for NR-U </w:t>
      </w:r>
      <w:r w:rsidRPr="005E36CA">
        <w:t>this requirement assumes that the measurement report is not delayed by UL LBT failure, therefore, does not need to be tested under UL LBT failure.</w:t>
      </w:r>
    </w:p>
    <w:p w14:paraId="4086114D" w14:textId="68310B77" w:rsidR="005E36CA" w:rsidRPr="00422A5A" w:rsidRDefault="005E36CA" w:rsidP="005E36CA">
      <w:pPr>
        <w:pStyle w:val="RAN4observation0"/>
      </w:pPr>
      <w:r>
        <w:t>This requirement can be tested without any UL LBT failure.</w:t>
      </w:r>
    </w:p>
    <w:p w14:paraId="39433A12" w14:textId="6E9FA21C" w:rsidR="00D354C4" w:rsidRPr="005E36CA" w:rsidRDefault="00BC44DE" w:rsidP="0008612A">
      <w:pPr>
        <w:pStyle w:val="RAN4H1"/>
      </w:pPr>
      <w:bookmarkStart w:id="3" w:name="_GoBack"/>
      <w:bookmarkEnd w:id="3"/>
      <w:r w:rsidRPr="005E36CA">
        <w:t>3</w:t>
      </w:r>
      <w:r w:rsidR="009A51CC" w:rsidRPr="005E36CA">
        <w:t xml:space="preserve"> Conclusion</w:t>
      </w:r>
    </w:p>
    <w:p w14:paraId="66280EA2" w14:textId="12E58949" w:rsidR="005E36CA" w:rsidRDefault="005E36CA" w:rsidP="005E36CA">
      <w:pPr>
        <w:pStyle w:val="RAN4Observation"/>
        <w:numPr>
          <w:ilvl w:val="0"/>
          <w:numId w:val="18"/>
        </w:numPr>
        <w:rPr>
          <w:iCs/>
        </w:rPr>
      </w:pPr>
      <w:r>
        <w:t xml:space="preserve">RAN4 has agreed that the </w:t>
      </w:r>
      <w:proofErr w:type="spellStart"/>
      <w:r w:rsidRPr="005E36CA">
        <w:rPr>
          <w:rFonts w:eastAsia="Times New Roman"/>
        </w:rPr>
        <w:t>T</w:t>
      </w:r>
      <w:r w:rsidRPr="005E36CA">
        <w:rPr>
          <w:rFonts w:eastAsia="Times New Roman"/>
          <w:vertAlign w:val="subscript"/>
        </w:rPr>
        <w:t>SSB_measurement_period_intra</w:t>
      </w:r>
      <w:proofErr w:type="spellEnd"/>
      <w:r w:rsidRPr="005E36CA">
        <w:rPr>
          <w:rFonts w:eastAsia="Times New Roman"/>
          <w:vertAlign w:val="subscript"/>
        </w:rPr>
        <w:t xml:space="preserve"> </w:t>
      </w:r>
      <w:r w:rsidRPr="005E36CA">
        <w:rPr>
          <w:iCs/>
        </w:rPr>
        <w:t>and</w:t>
      </w:r>
      <w:r w:rsidRPr="005E36CA">
        <w:rPr>
          <w:rFonts w:eastAsia="Times New Roman"/>
        </w:rPr>
        <w:t xml:space="preserve"> </w:t>
      </w:r>
      <w:proofErr w:type="spellStart"/>
      <w:r w:rsidRPr="005E36CA">
        <w:rPr>
          <w:rFonts w:eastAsia="Times New Roman"/>
        </w:rPr>
        <w:t>T</w:t>
      </w:r>
      <w:r w:rsidRPr="005E36CA">
        <w:rPr>
          <w:rFonts w:eastAsia="Times New Roman"/>
          <w:vertAlign w:val="subscript"/>
        </w:rPr>
        <w:t>SSB_measurement_period_inter</w:t>
      </w:r>
      <w:proofErr w:type="spellEnd"/>
      <w:r w:rsidRPr="005E36CA">
        <w:rPr>
          <w:iCs/>
        </w:rPr>
        <w:t xml:space="preserve"> will be extended to consider the DL LBT failure. Therefore, by adjusting the references in the specification, to </w:t>
      </w:r>
      <w:proofErr w:type="spellStart"/>
      <w:r w:rsidRPr="005E36CA">
        <w:rPr>
          <w:rFonts w:eastAsia="Times New Roman"/>
        </w:rPr>
        <w:t>T</w:t>
      </w:r>
      <w:r w:rsidRPr="005E36CA">
        <w:rPr>
          <w:rFonts w:eastAsia="Times New Roman"/>
          <w:vertAlign w:val="subscript"/>
        </w:rPr>
        <w:t>SSB_measurement_period_intra_CCA</w:t>
      </w:r>
      <w:proofErr w:type="spellEnd"/>
      <w:r w:rsidRPr="005E36CA">
        <w:rPr>
          <w:rFonts w:eastAsia="Times New Roman"/>
          <w:vertAlign w:val="subscript"/>
        </w:rPr>
        <w:t xml:space="preserve"> </w:t>
      </w:r>
      <w:r w:rsidRPr="005E36CA">
        <w:rPr>
          <w:iCs/>
        </w:rPr>
        <w:t>and</w:t>
      </w:r>
      <w:r w:rsidRPr="005E36CA">
        <w:rPr>
          <w:rFonts w:eastAsia="Times New Roman"/>
        </w:rPr>
        <w:t xml:space="preserve"> </w:t>
      </w:r>
      <w:proofErr w:type="spellStart"/>
      <w:r w:rsidRPr="005E36CA">
        <w:rPr>
          <w:rFonts w:eastAsia="Times New Roman"/>
        </w:rPr>
        <w:t>T</w:t>
      </w:r>
      <w:r w:rsidRPr="005E36CA">
        <w:rPr>
          <w:rFonts w:eastAsia="Times New Roman"/>
          <w:vertAlign w:val="subscript"/>
        </w:rPr>
        <w:t>SSB_measurement_period_inter_CCA</w:t>
      </w:r>
      <w:proofErr w:type="spellEnd"/>
      <w:r w:rsidRPr="005E36CA">
        <w:rPr>
          <w:iCs/>
        </w:rPr>
        <w:t>, the effect of DL LBT failure will also be considered in the reporting delay.</w:t>
      </w:r>
    </w:p>
    <w:p w14:paraId="50BE28C8" w14:textId="77777777" w:rsidR="005E36CA" w:rsidRDefault="005E36CA" w:rsidP="005E36CA">
      <w:pPr>
        <w:pStyle w:val="RAN4Observation"/>
        <w:numPr>
          <w:ilvl w:val="0"/>
          <w:numId w:val="18"/>
        </w:numPr>
      </w:pPr>
      <w:r>
        <w:t xml:space="preserve">The event triggered reporting delay excludes a delay caused by no UL resources being available for the UE to send the measurement report on. </w:t>
      </w:r>
    </w:p>
    <w:p w14:paraId="5802E42D" w14:textId="77777777" w:rsidR="005E36CA" w:rsidRPr="0018208B" w:rsidRDefault="005E36CA" w:rsidP="005E36CA">
      <w:pPr>
        <w:pStyle w:val="RAN4Observation"/>
        <w:numPr>
          <w:ilvl w:val="0"/>
          <w:numId w:val="18"/>
        </w:numPr>
      </w:pPr>
      <w:r>
        <w:t xml:space="preserve">In baseline NR Rel-15, RAN4 does not </w:t>
      </w:r>
      <w:proofErr w:type="gramStart"/>
      <w:r>
        <w:t>take into account</w:t>
      </w:r>
      <w:proofErr w:type="gramEnd"/>
      <w:r>
        <w:t xml:space="preserve"> the possible delays caused by unsuccessful PUSCH transmissions. A CCA failure in the uplink is considered by upper layers as an unsuccessful PUSCH transmission, i.e. triggering retransmissions.</w:t>
      </w:r>
    </w:p>
    <w:p w14:paraId="32DE62C0" w14:textId="77777777" w:rsidR="005E36CA" w:rsidRDefault="005E36CA" w:rsidP="005E36CA">
      <w:pPr>
        <w:pStyle w:val="RAN4proposal"/>
        <w:numPr>
          <w:ilvl w:val="0"/>
          <w:numId w:val="19"/>
        </w:numPr>
      </w:pPr>
      <w:r w:rsidRPr="005E36CA">
        <w:t xml:space="preserve">Reuse the Rel-15 definition of measurement reporting delay. If there is a need to capture the UL LBT failure in the </w:t>
      </w:r>
      <w:r w:rsidRPr="00EC57D2">
        <w:t xml:space="preserve">event triggered reporting delay, clarify that it also excludes </w:t>
      </w:r>
      <w:r>
        <w:t>delays</w:t>
      </w:r>
      <w:r w:rsidRPr="00EC57D2">
        <w:t xml:space="preserve"> caused by no UL resources being available for UE, for example due to </w:t>
      </w:r>
      <w:r>
        <w:t xml:space="preserve">UL </w:t>
      </w:r>
      <w:r w:rsidRPr="00EC57D2">
        <w:t>CCA failure.</w:t>
      </w:r>
    </w:p>
    <w:p w14:paraId="0AD0737D" w14:textId="4637EB36" w:rsidR="005E36CA" w:rsidRPr="005E36CA" w:rsidRDefault="005E36CA" w:rsidP="00372E30">
      <w:pPr>
        <w:pStyle w:val="RAN4observation0"/>
        <w:rPr>
          <w:lang w:val="en-US"/>
        </w:rPr>
      </w:pPr>
      <w:r>
        <w:t>This requirement can be tested without any UL LBT failure.</w:t>
      </w:r>
    </w:p>
    <w:p w14:paraId="0E87B0FA" w14:textId="0E6E51C2" w:rsidR="003B659E" w:rsidRPr="0095295C" w:rsidRDefault="003B659E" w:rsidP="0008612A">
      <w:pPr>
        <w:pStyle w:val="RAN4H1"/>
      </w:pPr>
      <w:r w:rsidRPr="0095295C">
        <w:t>References</w:t>
      </w:r>
    </w:p>
    <w:p w14:paraId="7C8D4CF1" w14:textId="2CA94C02" w:rsidR="00AE2475" w:rsidRPr="00422A5A" w:rsidRDefault="004E44ED" w:rsidP="00202C34">
      <w:pPr>
        <w:numPr>
          <w:ilvl w:val="0"/>
          <w:numId w:val="1"/>
        </w:numPr>
        <w:overflowPunct w:val="0"/>
        <w:autoSpaceDE w:val="0"/>
        <w:autoSpaceDN w:val="0"/>
        <w:adjustRightInd w:val="0"/>
        <w:spacing w:after="120" w:line="240" w:lineRule="auto"/>
        <w:jc w:val="both"/>
        <w:textAlignment w:val="baseline"/>
      </w:pPr>
      <w:bookmarkStart w:id="4" w:name="_Ref20931039"/>
      <w:bookmarkStart w:id="5" w:name="_Ref26969648"/>
      <w:r>
        <w:rPr>
          <w:lang w:val="en-GB"/>
        </w:rPr>
        <w:t>R4-</w:t>
      </w:r>
      <w:bookmarkEnd w:id="4"/>
      <w:r w:rsidR="00202C34">
        <w:rPr>
          <w:lang w:val="en-GB"/>
        </w:rPr>
        <w:t>1915777. “WF on NR-U RRM Requirements (all agreements in RAN4#93)”, Ericsson, Qualcomm Inc.</w:t>
      </w:r>
      <w:bookmarkEnd w:id="5"/>
    </w:p>
    <w:p w14:paraId="75D5C0D7" w14:textId="3ED2DA05" w:rsidR="00422A5A" w:rsidRPr="009057BE" w:rsidRDefault="00422A5A" w:rsidP="00202C34">
      <w:pPr>
        <w:numPr>
          <w:ilvl w:val="0"/>
          <w:numId w:val="1"/>
        </w:numPr>
        <w:overflowPunct w:val="0"/>
        <w:autoSpaceDE w:val="0"/>
        <w:autoSpaceDN w:val="0"/>
        <w:adjustRightInd w:val="0"/>
        <w:spacing w:after="120" w:line="240" w:lineRule="auto"/>
        <w:jc w:val="both"/>
        <w:textAlignment w:val="baseline"/>
      </w:pPr>
      <w:r>
        <w:rPr>
          <w:lang w:val="en-GB"/>
        </w:rPr>
        <w:t>R4-2005390. “</w:t>
      </w:r>
      <w:r w:rsidRPr="00422A5A">
        <w:rPr>
          <w:lang w:val="en-GB"/>
        </w:rPr>
        <w:t>Email discussion summary for [94e Bis][106] NR_unlic_RRM_Core_Part_3</w:t>
      </w:r>
      <w:r>
        <w:rPr>
          <w:lang w:val="en-GB"/>
        </w:rPr>
        <w:t>”, Nokia, Nokia Shanghai Bell.</w:t>
      </w:r>
    </w:p>
    <w:p w14:paraId="3A02BF38" w14:textId="1DA3F658" w:rsidR="009057BE" w:rsidRPr="00E07031" w:rsidRDefault="009057BE" w:rsidP="00202C34">
      <w:pPr>
        <w:numPr>
          <w:ilvl w:val="0"/>
          <w:numId w:val="1"/>
        </w:numPr>
        <w:overflowPunct w:val="0"/>
        <w:autoSpaceDE w:val="0"/>
        <w:autoSpaceDN w:val="0"/>
        <w:adjustRightInd w:val="0"/>
        <w:spacing w:after="120" w:line="240" w:lineRule="auto"/>
        <w:jc w:val="both"/>
        <w:textAlignment w:val="baseline"/>
      </w:pPr>
      <w:bookmarkStart w:id="6" w:name="_Ref40195274"/>
      <w:r>
        <w:rPr>
          <w:lang w:val="en-GB"/>
        </w:rPr>
        <w:t>R4-2003672, “On the impact of UL LBT failure in measurement reporting”, Nokia, Nokia Shanghai Bell.</w:t>
      </w:r>
      <w:bookmarkEnd w:id="6"/>
    </w:p>
    <w:p w14:paraId="72BCD2FC" w14:textId="1953A1F0" w:rsidR="00522F06" w:rsidRPr="009E41D0" w:rsidRDefault="00522F06" w:rsidP="009E41D0">
      <w:pPr>
        <w:overflowPunct w:val="0"/>
        <w:autoSpaceDE w:val="0"/>
        <w:autoSpaceDN w:val="0"/>
        <w:adjustRightInd w:val="0"/>
        <w:spacing w:after="120" w:line="240" w:lineRule="auto"/>
        <w:jc w:val="both"/>
        <w:textAlignment w:val="baseline"/>
        <w:rPr>
          <w:lang w:val="en-GB"/>
        </w:rPr>
      </w:pPr>
    </w:p>
    <w:sectPr w:rsidR="00522F06" w:rsidRPr="009E41D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EE296" w14:textId="77777777" w:rsidR="00C22621" w:rsidRDefault="00C22621" w:rsidP="00001C9B">
      <w:pPr>
        <w:spacing w:after="0" w:line="240" w:lineRule="auto"/>
      </w:pPr>
      <w:r>
        <w:separator/>
      </w:r>
    </w:p>
  </w:endnote>
  <w:endnote w:type="continuationSeparator" w:id="0">
    <w:p w14:paraId="07FD19A7" w14:textId="77777777" w:rsidR="00C22621" w:rsidRDefault="00C22621" w:rsidP="00001C9B">
      <w:pPr>
        <w:spacing w:after="0" w:line="240" w:lineRule="auto"/>
      </w:pPr>
      <w:r>
        <w:continuationSeparator/>
      </w:r>
    </w:p>
  </w:endnote>
  <w:endnote w:type="continuationNotice" w:id="1">
    <w:p w14:paraId="57ADA5D7" w14:textId="77777777" w:rsidR="00C22621" w:rsidRDefault="00C226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B4396" w14:textId="77777777" w:rsidR="00C22621" w:rsidRDefault="00C22621" w:rsidP="00001C9B">
      <w:pPr>
        <w:spacing w:after="0" w:line="240" w:lineRule="auto"/>
      </w:pPr>
      <w:r>
        <w:separator/>
      </w:r>
    </w:p>
  </w:footnote>
  <w:footnote w:type="continuationSeparator" w:id="0">
    <w:p w14:paraId="6547037A" w14:textId="77777777" w:rsidR="00C22621" w:rsidRDefault="00C22621" w:rsidP="00001C9B">
      <w:pPr>
        <w:spacing w:after="0" w:line="240" w:lineRule="auto"/>
      </w:pPr>
      <w:r>
        <w:continuationSeparator/>
      </w:r>
    </w:p>
  </w:footnote>
  <w:footnote w:type="continuationNotice" w:id="1">
    <w:p w14:paraId="47E757B5" w14:textId="77777777" w:rsidR="00C22621" w:rsidRDefault="00C226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1956539"/>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 w15:restartNumberingAfterBreak="0">
    <w:nsid w:val="46B43B9D"/>
    <w:multiLevelType w:val="hybridMultilevel"/>
    <w:tmpl w:val="0220DC5A"/>
    <w:lvl w:ilvl="0" w:tplc="0EE4909C">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D6E3167"/>
    <w:multiLevelType w:val="hybridMultilevel"/>
    <w:tmpl w:val="8CDEB71C"/>
    <w:lvl w:ilvl="0" w:tplc="222669F6">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9180B"/>
    <w:multiLevelType w:val="hybridMultilevel"/>
    <w:tmpl w:val="35A42AE0"/>
    <w:lvl w:ilvl="0" w:tplc="5E0C47A6">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4"/>
  </w:num>
  <w:num w:numId="4">
    <w:abstractNumId w:val="5"/>
  </w:num>
  <w:num w:numId="5">
    <w:abstractNumId w:val="10"/>
  </w:num>
  <w:num w:numId="6">
    <w:abstractNumId w:val="8"/>
  </w:num>
  <w:num w:numId="7">
    <w:abstractNumId w:val="11"/>
  </w:num>
  <w:num w:numId="8">
    <w:abstractNumId w:val="3"/>
  </w:num>
  <w:num w:numId="9">
    <w:abstractNumId w:val="1"/>
  </w:num>
  <w:num w:numId="10">
    <w:abstractNumId w:val="4"/>
    <w:lvlOverride w:ilvl="0">
      <w:startOverride w:val="1"/>
    </w:lvlOverride>
  </w:num>
  <w:num w:numId="11">
    <w:abstractNumId w:val="5"/>
    <w:lvlOverride w:ilvl="0">
      <w:startOverride w:val="1"/>
    </w:lvlOverride>
  </w:num>
  <w:num w:numId="12">
    <w:abstractNumId w:val="2"/>
  </w:num>
  <w:num w:numId="13">
    <w:abstractNumId w:val="5"/>
    <w:lvlOverride w:ilvl="0">
      <w:startOverride w:val="1"/>
    </w:lvlOverride>
  </w:num>
  <w:num w:numId="14">
    <w:abstractNumId w:val="9"/>
  </w:num>
  <w:num w:numId="15">
    <w:abstractNumId w:val="4"/>
    <w:lvlOverride w:ilvl="0">
      <w:startOverride w:val="1"/>
    </w:lvlOverride>
  </w:num>
  <w:num w:numId="16">
    <w:abstractNumId w:val="5"/>
    <w:lvlOverride w:ilvl="0">
      <w:startOverride w:val="1"/>
    </w:lvlOverride>
  </w:num>
  <w:num w:numId="17">
    <w:abstractNumId w:val="7"/>
  </w:num>
  <w:num w:numId="18">
    <w:abstractNumId w:val="4"/>
    <w:lvlOverride w:ilvl="0">
      <w:startOverride w:val="1"/>
    </w:lvlOverride>
  </w:num>
  <w:num w:numId="19">
    <w:abstractNumId w:val="5"/>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8B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3602"/>
    <w:rsid w:val="000A5622"/>
    <w:rsid w:val="000A5729"/>
    <w:rsid w:val="000B0056"/>
    <w:rsid w:val="000C3BC9"/>
    <w:rsid w:val="000C56C0"/>
    <w:rsid w:val="000D2D87"/>
    <w:rsid w:val="000D5C4C"/>
    <w:rsid w:val="000E2027"/>
    <w:rsid w:val="000E23A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40330"/>
    <w:rsid w:val="001412DC"/>
    <w:rsid w:val="00141355"/>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208B"/>
    <w:rsid w:val="001838CF"/>
    <w:rsid w:val="0019220B"/>
    <w:rsid w:val="00192A0F"/>
    <w:rsid w:val="001958A2"/>
    <w:rsid w:val="00195E2B"/>
    <w:rsid w:val="001961B9"/>
    <w:rsid w:val="001A72C1"/>
    <w:rsid w:val="001B116F"/>
    <w:rsid w:val="001B2870"/>
    <w:rsid w:val="001B5B85"/>
    <w:rsid w:val="001D54CB"/>
    <w:rsid w:val="001D6CBA"/>
    <w:rsid w:val="001D7E29"/>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5F5C"/>
    <w:rsid w:val="00236D6F"/>
    <w:rsid w:val="00236D78"/>
    <w:rsid w:val="00237A2C"/>
    <w:rsid w:val="00240419"/>
    <w:rsid w:val="00245F37"/>
    <w:rsid w:val="0024625B"/>
    <w:rsid w:val="00255E2C"/>
    <w:rsid w:val="002562FC"/>
    <w:rsid w:val="002650B5"/>
    <w:rsid w:val="00265102"/>
    <w:rsid w:val="00265843"/>
    <w:rsid w:val="00273443"/>
    <w:rsid w:val="00280503"/>
    <w:rsid w:val="00282637"/>
    <w:rsid w:val="00284157"/>
    <w:rsid w:val="002853E1"/>
    <w:rsid w:val="002870BB"/>
    <w:rsid w:val="002871F8"/>
    <w:rsid w:val="002873D6"/>
    <w:rsid w:val="00287B2D"/>
    <w:rsid w:val="00294438"/>
    <w:rsid w:val="00295D0B"/>
    <w:rsid w:val="00295E25"/>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B7D19"/>
    <w:rsid w:val="003C14AD"/>
    <w:rsid w:val="003C174C"/>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0DF4"/>
    <w:rsid w:val="00422A5A"/>
    <w:rsid w:val="00423A76"/>
    <w:rsid w:val="00427774"/>
    <w:rsid w:val="0043238D"/>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EE9"/>
    <w:rsid w:val="00510FB5"/>
    <w:rsid w:val="00511D00"/>
    <w:rsid w:val="00514182"/>
    <w:rsid w:val="005150F7"/>
    <w:rsid w:val="00522F06"/>
    <w:rsid w:val="00524299"/>
    <w:rsid w:val="0052796E"/>
    <w:rsid w:val="0053065D"/>
    <w:rsid w:val="005318D1"/>
    <w:rsid w:val="005343AA"/>
    <w:rsid w:val="005440B8"/>
    <w:rsid w:val="0054442C"/>
    <w:rsid w:val="005479EB"/>
    <w:rsid w:val="00550285"/>
    <w:rsid w:val="005505C2"/>
    <w:rsid w:val="00551ACF"/>
    <w:rsid w:val="00554227"/>
    <w:rsid w:val="00556D62"/>
    <w:rsid w:val="00562B2E"/>
    <w:rsid w:val="0056348E"/>
    <w:rsid w:val="005661BF"/>
    <w:rsid w:val="00567303"/>
    <w:rsid w:val="005768F8"/>
    <w:rsid w:val="00581548"/>
    <w:rsid w:val="005817F7"/>
    <w:rsid w:val="005836F8"/>
    <w:rsid w:val="005847F4"/>
    <w:rsid w:val="00585575"/>
    <w:rsid w:val="00586299"/>
    <w:rsid w:val="00587208"/>
    <w:rsid w:val="00587948"/>
    <w:rsid w:val="005921E4"/>
    <w:rsid w:val="0059230A"/>
    <w:rsid w:val="005937A3"/>
    <w:rsid w:val="00596C8F"/>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6CA"/>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40278"/>
    <w:rsid w:val="006502CE"/>
    <w:rsid w:val="00657320"/>
    <w:rsid w:val="00661412"/>
    <w:rsid w:val="006637DF"/>
    <w:rsid w:val="00664950"/>
    <w:rsid w:val="0066617A"/>
    <w:rsid w:val="00683220"/>
    <w:rsid w:val="00683CB8"/>
    <w:rsid w:val="0068640E"/>
    <w:rsid w:val="00687FA0"/>
    <w:rsid w:val="00696989"/>
    <w:rsid w:val="00697B13"/>
    <w:rsid w:val="006A7876"/>
    <w:rsid w:val="006A7D79"/>
    <w:rsid w:val="006B7010"/>
    <w:rsid w:val="006C0384"/>
    <w:rsid w:val="006C1D35"/>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7774D"/>
    <w:rsid w:val="0078329A"/>
    <w:rsid w:val="00783B71"/>
    <w:rsid w:val="00784412"/>
    <w:rsid w:val="00785232"/>
    <w:rsid w:val="00793970"/>
    <w:rsid w:val="00794D69"/>
    <w:rsid w:val="00796061"/>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5DD"/>
    <w:rsid w:val="007D76FC"/>
    <w:rsid w:val="007E406E"/>
    <w:rsid w:val="007E4A9F"/>
    <w:rsid w:val="007F50F8"/>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38A8"/>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DBC"/>
    <w:rsid w:val="00894F68"/>
    <w:rsid w:val="008960FF"/>
    <w:rsid w:val="008977B9"/>
    <w:rsid w:val="008A42D0"/>
    <w:rsid w:val="008A4843"/>
    <w:rsid w:val="008A4AC4"/>
    <w:rsid w:val="008A4C8B"/>
    <w:rsid w:val="008A635E"/>
    <w:rsid w:val="008A69EC"/>
    <w:rsid w:val="008A6D84"/>
    <w:rsid w:val="008B1670"/>
    <w:rsid w:val="008B2312"/>
    <w:rsid w:val="008B5B38"/>
    <w:rsid w:val="008B67BD"/>
    <w:rsid w:val="008C7475"/>
    <w:rsid w:val="008C7844"/>
    <w:rsid w:val="008D0338"/>
    <w:rsid w:val="008D15EB"/>
    <w:rsid w:val="008D4635"/>
    <w:rsid w:val="008D5AF1"/>
    <w:rsid w:val="008E0A1C"/>
    <w:rsid w:val="008E31F8"/>
    <w:rsid w:val="008E67FB"/>
    <w:rsid w:val="008F5164"/>
    <w:rsid w:val="008F64E5"/>
    <w:rsid w:val="008F7B6B"/>
    <w:rsid w:val="00900C72"/>
    <w:rsid w:val="009042BD"/>
    <w:rsid w:val="009057BE"/>
    <w:rsid w:val="00907373"/>
    <w:rsid w:val="0090747A"/>
    <w:rsid w:val="00910B17"/>
    <w:rsid w:val="00911E46"/>
    <w:rsid w:val="009141BA"/>
    <w:rsid w:val="00915C60"/>
    <w:rsid w:val="0091611C"/>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502"/>
    <w:rsid w:val="00977E1D"/>
    <w:rsid w:val="00980373"/>
    <w:rsid w:val="00980394"/>
    <w:rsid w:val="009822F6"/>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B6F40"/>
    <w:rsid w:val="009C787D"/>
    <w:rsid w:val="009D341F"/>
    <w:rsid w:val="009D7F56"/>
    <w:rsid w:val="009E34DF"/>
    <w:rsid w:val="009E41D0"/>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1B84"/>
    <w:rsid w:val="00AC4389"/>
    <w:rsid w:val="00AC5B0F"/>
    <w:rsid w:val="00AC5CA7"/>
    <w:rsid w:val="00AC7172"/>
    <w:rsid w:val="00AD1216"/>
    <w:rsid w:val="00AD6514"/>
    <w:rsid w:val="00AE2475"/>
    <w:rsid w:val="00AE4E14"/>
    <w:rsid w:val="00AF0857"/>
    <w:rsid w:val="00AF21F5"/>
    <w:rsid w:val="00AF4DB2"/>
    <w:rsid w:val="00B0082E"/>
    <w:rsid w:val="00B02489"/>
    <w:rsid w:val="00B07A4B"/>
    <w:rsid w:val="00B13C57"/>
    <w:rsid w:val="00B144F7"/>
    <w:rsid w:val="00B14CF0"/>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8554B"/>
    <w:rsid w:val="00B96DA3"/>
    <w:rsid w:val="00BA01FA"/>
    <w:rsid w:val="00BA0BE9"/>
    <w:rsid w:val="00BA12A1"/>
    <w:rsid w:val="00BA2BD8"/>
    <w:rsid w:val="00BA6E48"/>
    <w:rsid w:val="00BB213E"/>
    <w:rsid w:val="00BB6036"/>
    <w:rsid w:val="00BB6BEA"/>
    <w:rsid w:val="00BC0518"/>
    <w:rsid w:val="00BC20DA"/>
    <w:rsid w:val="00BC4263"/>
    <w:rsid w:val="00BC44DE"/>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2218"/>
    <w:rsid w:val="00BF6C08"/>
    <w:rsid w:val="00C03DB4"/>
    <w:rsid w:val="00C07FAE"/>
    <w:rsid w:val="00C12E65"/>
    <w:rsid w:val="00C14AFE"/>
    <w:rsid w:val="00C219F1"/>
    <w:rsid w:val="00C22621"/>
    <w:rsid w:val="00C25509"/>
    <w:rsid w:val="00C27CD5"/>
    <w:rsid w:val="00C36DF3"/>
    <w:rsid w:val="00C44972"/>
    <w:rsid w:val="00C47463"/>
    <w:rsid w:val="00C517AB"/>
    <w:rsid w:val="00C52E17"/>
    <w:rsid w:val="00C530CB"/>
    <w:rsid w:val="00C53BF0"/>
    <w:rsid w:val="00C67D92"/>
    <w:rsid w:val="00C707CE"/>
    <w:rsid w:val="00C716D6"/>
    <w:rsid w:val="00C81064"/>
    <w:rsid w:val="00C96F82"/>
    <w:rsid w:val="00CA22D5"/>
    <w:rsid w:val="00CA6ADC"/>
    <w:rsid w:val="00CA7DDF"/>
    <w:rsid w:val="00CB24C3"/>
    <w:rsid w:val="00CB5A09"/>
    <w:rsid w:val="00CC012F"/>
    <w:rsid w:val="00CC2C6A"/>
    <w:rsid w:val="00CC470A"/>
    <w:rsid w:val="00CD67B8"/>
    <w:rsid w:val="00CD7492"/>
    <w:rsid w:val="00CE2443"/>
    <w:rsid w:val="00CE2BEE"/>
    <w:rsid w:val="00CE3A6B"/>
    <w:rsid w:val="00CE6DD3"/>
    <w:rsid w:val="00CF17A8"/>
    <w:rsid w:val="00CF4364"/>
    <w:rsid w:val="00CF4F06"/>
    <w:rsid w:val="00D00211"/>
    <w:rsid w:val="00D01D07"/>
    <w:rsid w:val="00D03530"/>
    <w:rsid w:val="00D04A17"/>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D0F"/>
    <w:rsid w:val="00DE5F01"/>
    <w:rsid w:val="00DF0B7B"/>
    <w:rsid w:val="00DF1363"/>
    <w:rsid w:val="00DF2997"/>
    <w:rsid w:val="00DF3435"/>
    <w:rsid w:val="00DF3461"/>
    <w:rsid w:val="00DF5A85"/>
    <w:rsid w:val="00DF6FED"/>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50C7F"/>
    <w:rsid w:val="00E61110"/>
    <w:rsid w:val="00E64435"/>
    <w:rsid w:val="00E6704F"/>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69DF"/>
    <w:rsid w:val="00EB059E"/>
    <w:rsid w:val="00EC0BD8"/>
    <w:rsid w:val="00EC184E"/>
    <w:rsid w:val="00EC2A9C"/>
    <w:rsid w:val="00EC57D2"/>
    <w:rsid w:val="00EC5ABF"/>
    <w:rsid w:val="00EC5F4D"/>
    <w:rsid w:val="00EC7BC3"/>
    <w:rsid w:val="00ED17D0"/>
    <w:rsid w:val="00ED1BCA"/>
    <w:rsid w:val="00ED1F3F"/>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1F43"/>
    <w:rsid w:val="00F64578"/>
    <w:rsid w:val="00F657A2"/>
    <w:rsid w:val="00F72507"/>
    <w:rsid w:val="00F72ED0"/>
    <w:rsid w:val="00F7450D"/>
    <w:rsid w:val="00F824F5"/>
    <w:rsid w:val="00F83877"/>
    <w:rsid w:val="00F84643"/>
    <w:rsid w:val="00F84BA1"/>
    <w:rsid w:val="00F85D40"/>
    <w:rsid w:val="00F87098"/>
    <w:rsid w:val="00F95D1B"/>
    <w:rsid w:val="00FA0EDC"/>
    <w:rsid w:val="00FA1709"/>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4D73427"/>
    <w:rsid w:val="09B3759D"/>
    <w:rsid w:val="11FABD2C"/>
    <w:rsid w:val="30B6439F"/>
    <w:rsid w:val="3AB671B9"/>
    <w:rsid w:val="494488D8"/>
    <w:rsid w:val="4ADD0B6C"/>
    <w:rsid w:val="51C1F9DD"/>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11192221">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6349521">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5AIRPNAIUNRU-1328258698-888</_dlc_DocId>
    <_dlc_DocIdUrl xmlns="71c5aaf6-e6ce-465b-b873-5148d2a4c105">
      <Url>https://nokia.sharepoint.com/sites/c5g/5gradio/_layouts/15/DocIdRedir.aspx?ID=5AIRPNAIUNRU-1328258698-888</Url>
      <Description>5AIRPNAIUNRU-1328258698-888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9D751E3-9AF3-4B36-B6BF-F3D78DDD1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0C11F4-029D-4DC8-9B67-F25A3EB2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879</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9</cp:revision>
  <cp:lastPrinted>2019-04-01T08:54:00Z</cp:lastPrinted>
  <dcterms:created xsi:type="dcterms:W3CDTF">2020-05-12T14:36:00Z</dcterms:created>
  <dcterms:modified xsi:type="dcterms:W3CDTF">2020-05-15T18:22:00Z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AuthorIds_UIVersion_512">
    <vt:lpwstr>18279</vt:lpwstr>
  </property>
  <property fmtid="{D5CDD505-2E9C-101B-9397-08002B2CF9AE}" pid="4" name="_dlc_DocIdItemGuid">
    <vt:lpwstr>40946185-fe79-47e1-9b78-055d1d0de3d1</vt:lpwstr>
  </property>
</Properties>
</file>